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 _</w:t>
      </w:r>
      <w:proofErr w:type="gramEnd"/>
      <w:r w:rsidR="00E16D78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  »  _________</w:t>
      </w:r>
      <w:r w:rsidR="00E16D78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_______  202</w:t>
      </w:r>
      <w:r w:rsidR="004E5B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____</w:t>
      </w:r>
      <w:r w:rsidR="00E16D78">
        <w:rPr>
          <w:rFonts w:ascii="Times New Roman" w:eastAsia="Times New Roman" w:hAnsi="Times New Roman" w:cs="Times New Roman"/>
          <w:sz w:val="26"/>
          <w:szCs w:val="26"/>
          <w:u w:val="single"/>
        </w:rPr>
        <w:t>14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D1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утверждении формы проверочного листа</w:t>
      </w:r>
    </w:p>
    <w:p w:rsidR="00416E84" w:rsidRDefault="0001403B" w:rsidP="00D1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применяемого при осуществлении муниципального контроля </w:t>
      </w:r>
      <w:r w:rsidR="00D133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710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bookmarkStart w:id="1" w:name="_Hlk89250344"/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Комсомольско</w:t>
      </w:r>
      <w:r w:rsidR="00D1330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м городском поселении Комсомольского 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муниципально</w:t>
      </w:r>
      <w:r w:rsidR="00D1330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го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район</w:t>
      </w:r>
      <w:r w:rsidR="00D1330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а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решением Совета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Комсомольского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поселения четвертого созыва от 27.10.2021</w:t>
      </w:r>
      <w:r w:rsidR="00043C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043C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9476F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Положения о</w:t>
      </w:r>
      <w:r w:rsidR="00DD591A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муниципальном контроле </w:t>
      </w:r>
      <w:bookmarkStart w:id="2" w:name="_Hlk94268941"/>
      <w:r w:rsidR="009476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</w:t>
      </w:r>
      <w:r w:rsidR="00C15F3A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мольского муниципального района</w:t>
      </w:r>
      <w:r w:rsidR="00DD59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bookmarkEnd w:id="2"/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применяемого при осуществлении муниципального контроля</w:t>
      </w:r>
      <w:r w:rsidR="009476F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76F2" w:rsidRPr="009476F2">
        <w:rPr>
          <w:rFonts w:ascii="Times New Roman" w:eastAsia="Times New Roman" w:hAnsi="Times New Roman" w:cs="Times New Roman"/>
          <w:bCs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6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334714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4103AE" w:rsidRDefault="007C5B3F" w:rsidP="0033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E16D78" w:rsidRPr="00E16D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E16D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02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_____2022 № _</w:t>
      </w:r>
      <w:bookmarkStart w:id="3" w:name="_GoBack"/>
      <w:bookmarkEnd w:id="3"/>
      <w:r w:rsidR="00E16D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14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7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453E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контроля </w:t>
      </w:r>
      <w:r w:rsidR="009476F2" w:rsidRPr="009476F2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муниципального контроля </w:t>
      </w:r>
      <w:r w:rsidR="009476F2" w:rsidRPr="009476F2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контроль </w:t>
      </w:r>
      <w:r w:rsidR="009476F2" w:rsidRPr="009476F2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1F2437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. Форма проверочного листа (списка контрольных вопросов), применяемого при осуществлении муниципального контроля </w:t>
      </w:r>
      <w:r w:rsidR="00691BA8" w:rsidRPr="00691BA8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="00691BA8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единой </w:t>
      </w:r>
      <w:r w:rsidR="00691BA8" w:rsidRPr="00691BA8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» от «____» ______ 2022 г. № 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3. Вид контрольного (надзорного) мероприятия   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BA4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__________.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84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"/>
        <w:gridCol w:w="2281"/>
        <w:gridCol w:w="2370"/>
        <w:gridCol w:w="950"/>
        <w:gridCol w:w="10"/>
        <w:gridCol w:w="810"/>
        <w:gridCol w:w="1080"/>
        <w:gridCol w:w="1459"/>
      </w:tblGrid>
      <w:tr w:rsidR="00947741" w:rsidTr="00EB399E">
        <w:trPr>
          <w:trHeight w:val="114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 на вопрос</w:t>
            </w:r>
          </w:p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47741" w:rsidTr="00EB399E">
        <w:trPr>
          <w:trHeight w:val="114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jc w:val="center"/>
            </w:pPr>
          </w:p>
        </w:tc>
      </w:tr>
      <w:tr w:rsidR="00947741" w:rsidTr="00EB399E">
        <w:trPr>
          <w:trHeight w:val="30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EB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сроки </w:t>
            </w:r>
            <w:r w:rsidRPr="00495969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49596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95969" w:rsidRPr="00495969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перечнем, указанными в схеме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477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1" w:rsidTr="00EB399E">
        <w:trPr>
          <w:trHeight w:val="29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9E" w:rsidRPr="00EB399E" w:rsidRDefault="00EB399E" w:rsidP="00EB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теплоснабжения, определенные для нее в схеме теплоснабжения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сроками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t>, указанными в схеме теплоснабжения</w:t>
            </w:r>
          </w:p>
          <w:p w:rsidR="00947741" w:rsidRDefault="00947741" w:rsidP="0064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EB399E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23.7 Федерального закона </w:t>
            </w:r>
            <w:r w:rsidRPr="00EB399E">
              <w:rPr>
                <w:rFonts w:ascii="Times New Roman" w:hAnsi="Times New Roman" w:cs="Times New Roman"/>
                <w:sz w:val="24"/>
                <w:szCs w:val="24"/>
              </w:rPr>
              <w:br/>
              <w:t>от 27.07.2010 № 190-ФЗ "О теплоснабжении"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334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32D2A"/>
    <w:rsid w:val="00043C1A"/>
    <w:rsid w:val="00077E60"/>
    <w:rsid w:val="00082EB5"/>
    <w:rsid w:val="00095866"/>
    <w:rsid w:val="000E7D92"/>
    <w:rsid w:val="000F4525"/>
    <w:rsid w:val="0010395C"/>
    <w:rsid w:val="00155440"/>
    <w:rsid w:val="001933F4"/>
    <w:rsid w:val="001A475D"/>
    <w:rsid w:val="001F2437"/>
    <w:rsid w:val="00255EA4"/>
    <w:rsid w:val="00297FE8"/>
    <w:rsid w:val="002A08CE"/>
    <w:rsid w:val="00334714"/>
    <w:rsid w:val="00366052"/>
    <w:rsid w:val="004103AE"/>
    <w:rsid w:val="00416E84"/>
    <w:rsid w:val="004347D0"/>
    <w:rsid w:val="00495969"/>
    <w:rsid w:val="004E5BFA"/>
    <w:rsid w:val="004F6700"/>
    <w:rsid w:val="005B43D3"/>
    <w:rsid w:val="005D3A3E"/>
    <w:rsid w:val="005D677C"/>
    <w:rsid w:val="00612CBE"/>
    <w:rsid w:val="00646C12"/>
    <w:rsid w:val="00691BA8"/>
    <w:rsid w:val="00710506"/>
    <w:rsid w:val="00750AA7"/>
    <w:rsid w:val="00774FF7"/>
    <w:rsid w:val="007C5B3F"/>
    <w:rsid w:val="007F42BE"/>
    <w:rsid w:val="007F4371"/>
    <w:rsid w:val="009476F2"/>
    <w:rsid w:val="00947741"/>
    <w:rsid w:val="00971861"/>
    <w:rsid w:val="00980F90"/>
    <w:rsid w:val="00AC042F"/>
    <w:rsid w:val="00B915E8"/>
    <w:rsid w:val="00BA453E"/>
    <w:rsid w:val="00C15F3A"/>
    <w:rsid w:val="00CA1E80"/>
    <w:rsid w:val="00CF0FAE"/>
    <w:rsid w:val="00D1330B"/>
    <w:rsid w:val="00DD591A"/>
    <w:rsid w:val="00E16D78"/>
    <w:rsid w:val="00E25C98"/>
    <w:rsid w:val="00EB399E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105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E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4DB12E15ABF73035C417E97B66CF4DB5CD99E8904020F0A4AA068594031CE51AE4592D184E423B173E261B7EB0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omsomolsk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10</cp:revision>
  <cp:lastPrinted>2022-01-28T12:17:00Z</cp:lastPrinted>
  <dcterms:created xsi:type="dcterms:W3CDTF">2022-01-28T10:22:00Z</dcterms:created>
  <dcterms:modified xsi:type="dcterms:W3CDTF">2022-03-03T05:33:00Z</dcterms:modified>
</cp:coreProperties>
</file>